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2E883E66" w:rsidR="00F47141" w:rsidRPr="00F47141" w:rsidRDefault="00F47141" w:rsidP="001146AD">
      <w:r>
        <w:rPr>
          <w:noProof/>
        </w:rPr>
        <w:drawing>
          <wp:inline distT="0" distB="0" distL="0" distR="0" wp14:anchorId="510A73D1" wp14:editId="144A95B2">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3BCE9BB5" w:rsidR="00F47141" w:rsidRDefault="00CD1F2E" w:rsidP="001146AD">
      <w:r>
        <w:rPr>
          <w:noProof/>
        </w:rPr>
        <w:drawing>
          <wp:anchor distT="0" distB="0" distL="114300" distR="114300" simplePos="0" relativeHeight="251658240" behindDoc="0" locked="0" layoutInCell="1" allowOverlap="1" wp14:anchorId="42EAB4B1" wp14:editId="0C0EE204">
            <wp:simplePos x="0" y="0"/>
            <wp:positionH relativeFrom="margin">
              <wp:align>left</wp:align>
            </wp:positionH>
            <wp:positionV relativeFrom="margin">
              <wp:posOffset>3615690</wp:posOffset>
            </wp:positionV>
            <wp:extent cx="1854835" cy="1332865"/>
            <wp:effectExtent l="0" t="0" r="0" b="635"/>
            <wp:wrapSquare wrapText="bothSides"/>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227" cy="1373436"/>
                    </a:xfrm>
                    <a:prstGeom prst="rect">
                      <a:avLst/>
                    </a:prstGeom>
                  </pic:spPr>
                </pic:pic>
              </a:graphicData>
            </a:graphic>
            <wp14:sizeRelH relativeFrom="margin">
              <wp14:pctWidth>0</wp14:pctWidth>
            </wp14:sizeRelH>
            <wp14:sizeRelV relativeFrom="margin">
              <wp14:pctHeight>0</wp14:pctHeight>
            </wp14:sizeRelV>
          </wp:anchor>
        </w:drawing>
      </w:r>
      <w:r w:rsidR="00BF7F1E">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50505B38"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w:t>
      </w:r>
      <w:r w:rsidRPr="00F47141">
        <w:lastRenderedPageBreak/>
        <w:t>are one of the best small trees and they do well here in the Finger Lakes as long as you don't plant them in low wet areas.  Can be pruned to form a multi-stemmed habit as a very large shrub, or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w:t>
      </w:r>
      <w:r w:rsidRPr="00E21105">
        <w:lastRenderedPageBreak/>
        <w:t xml:space="preserve">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9">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20"/>
      <w:footerReference w:type="default" r:id="rId2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D18EE" w14:textId="77777777" w:rsidR="009657F2" w:rsidRDefault="009657F2" w:rsidP="00AB7F53">
      <w:pPr>
        <w:spacing w:after="0" w:line="240" w:lineRule="auto"/>
      </w:pPr>
      <w:r>
        <w:separator/>
      </w:r>
    </w:p>
  </w:endnote>
  <w:endnote w:type="continuationSeparator" w:id="0">
    <w:p w14:paraId="1A505328" w14:textId="77777777" w:rsidR="009657F2" w:rsidRDefault="009657F2"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B512C" w14:textId="77777777" w:rsidR="009657F2" w:rsidRDefault="009657F2" w:rsidP="00AB7F53">
      <w:pPr>
        <w:spacing w:after="0" w:line="240" w:lineRule="auto"/>
      </w:pPr>
      <w:r>
        <w:separator/>
      </w:r>
    </w:p>
  </w:footnote>
  <w:footnote w:type="continuationSeparator" w:id="0">
    <w:p w14:paraId="76C3A22A" w14:textId="77777777" w:rsidR="009657F2" w:rsidRDefault="009657F2"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54E9D"/>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657F2"/>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44CFE"/>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0F11"/>
    <w:rsid w:val="00BF7F1E"/>
    <w:rsid w:val="00C15401"/>
    <w:rsid w:val="00C15D3C"/>
    <w:rsid w:val="00C32EF9"/>
    <w:rsid w:val="00C64564"/>
    <w:rsid w:val="00C66A7F"/>
    <w:rsid w:val="00C73F84"/>
    <w:rsid w:val="00C741C9"/>
    <w:rsid w:val="00C82D43"/>
    <w:rsid w:val="00C93F01"/>
    <w:rsid w:val="00CA63A3"/>
    <w:rsid w:val="00CB2059"/>
    <w:rsid w:val="00CC13C7"/>
    <w:rsid w:val="00CC6A8E"/>
    <w:rsid w:val="00CD1F2E"/>
    <w:rsid w:val="00CD4F74"/>
    <w:rsid w:val="00CE19DC"/>
    <w:rsid w:val="00CF1A01"/>
    <w:rsid w:val="00D106EC"/>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2023-01-24T14:28:00Z</dcterms:created>
  <dcterms:modified xsi:type="dcterms:W3CDTF">2023-01-24T14:28:00Z</dcterms:modified>
</cp:coreProperties>
</file>